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2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3"/>
        <w:gridCol w:w="257"/>
      </w:tblGrid>
      <w:tr w:rsidR="00DE6404" w:rsidRPr="00DE6404" w:rsidTr="00DE6404">
        <w:trPr>
          <w:tblCellSpacing w:w="0" w:type="dxa"/>
        </w:trPr>
        <w:tc>
          <w:tcPr>
            <w:tcW w:w="7363" w:type="dxa"/>
            <w:shd w:val="clear" w:color="auto" w:fill="FFFFFF"/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404040"/>
                <w:sz w:val="24"/>
                <w:szCs w:val="24"/>
                <w:lang w:eastAsia="fr-BE"/>
              </w:rPr>
            </w:pPr>
            <w:r w:rsidRPr="00DE6404">
              <w:rPr>
                <w:rFonts w:ascii="Century Gothic" w:eastAsia="Times New Roman" w:hAnsi="Century Gothic" w:cs="Arial"/>
                <w:b/>
                <w:color w:val="404040"/>
                <w:sz w:val="24"/>
                <w:szCs w:val="24"/>
                <w:lang w:eastAsia="fr-BE"/>
              </w:rPr>
              <w:t xml:space="preserve">Tu as mes mains, tu as mes yeux </w:t>
            </w:r>
          </w:p>
          <w:p w:rsidR="00DE6404" w:rsidRDefault="00DE6404" w:rsidP="00DE6404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</w:pPr>
          </w:p>
          <w:p w:rsidR="00DE6404" w:rsidRPr="00DE6404" w:rsidRDefault="00DE6404" w:rsidP="00DE6404">
            <w:pPr>
              <w:spacing w:after="0" w:line="240" w:lineRule="auto"/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</w:pP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t>Seigneur, Tu n'es plus parmi nous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avec ton corps de chair et de sang,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mais Tu veux que je sois ta présence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 xml:space="preserve">pour mes frères et </w:t>
            </w:r>
            <w:r w:rsidR="00F52D32"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t>sœurs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t xml:space="preserve"> </w:t>
            </w:r>
            <w:bookmarkStart w:id="0" w:name="_GoBack"/>
            <w:bookmarkEnd w:id="0"/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t>d'aujourd'hui.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Tu n'as plus de mains, mais Tu as mes mains,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pour porter secours au malade,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caresser le visage du vieillard.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Tu n'as plus tes yeux, mais Tu as mes yeux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pour regarder celui que personne ne voit, 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lui faire sentir qu'il existe.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Tu as ma bouche et mon sourire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pour réveiller le goût de vivre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chez tous ceux qui l'ont perdu.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Chacun de mes actes, Seigneur,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peut devenir sacrement,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si c'est ton Esprit qui l'inspire, 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si c'est ta Présence qui l'anime.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Donne-moi de découvrir la dimension divine et sacrée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de ma vie, de mes rencontres, de mes activités,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pour qu'elles acquièrent un sens ultime, 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un goût d'éternité.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Que mon action soit ton acti</w:t>
            </w:r>
            <w:r w:rsidR="002606B3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t>on,</w:t>
            </w:r>
            <w:r w:rsidR="002606B3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mon engagement, ton engagement.</w:t>
            </w:r>
            <w:r w:rsidR="002606B3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Donne-moi, par-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t>dessus tout, la force d'aimer</w:t>
            </w:r>
            <w:r w:rsidRPr="00DE6404">
              <w:rPr>
                <w:rFonts w:ascii="Century Gothic" w:eastAsia="Times New Roman" w:hAnsi="Century Gothic" w:cs="Arial"/>
                <w:color w:val="404040"/>
                <w:sz w:val="24"/>
                <w:szCs w:val="24"/>
                <w:lang w:eastAsia="fr-BE"/>
              </w:rPr>
              <w:br/>
              <w:t>toujours mieux, toujours davantage. Amen.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404" w:rsidRPr="00DE6404" w:rsidRDefault="00DE6404" w:rsidP="00DE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841281" w:rsidRDefault="00841281"/>
    <w:p w:rsidR="007377A9" w:rsidRPr="007377A9" w:rsidRDefault="007377A9">
      <w:pPr>
        <w:rPr>
          <w:sz w:val="20"/>
          <w:szCs w:val="20"/>
        </w:rPr>
      </w:pPr>
      <w:r w:rsidRPr="007377A9">
        <w:rPr>
          <w:rFonts w:ascii="Century Gothic" w:eastAsia="Times New Roman" w:hAnsi="Century Gothic" w:cs="Arial"/>
          <w:b/>
          <w:color w:val="404040"/>
          <w:sz w:val="20"/>
          <w:szCs w:val="20"/>
          <w:lang w:eastAsia="fr-BE"/>
        </w:rPr>
        <w:t>Henri Boulard</w:t>
      </w:r>
    </w:p>
    <w:sectPr w:rsidR="007377A9" w:rsidRPr="0073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4"/>
    <w:rsid w:val="002606B3"/>
    <w:rsid w:val="007377A9"/>
    <w:rsid w:val="00841281"/>
    <w:rsid w:val="00DE6404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5973"/>
  <w15:chartTrackingRefBased/>
  <w15:docId w15:val="{1E91FB7F-E40C-44E0-89F8-FBD13D6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Fourrier Laurence</cp:lastModifiedBy>
  <cp:revision>3</cp:revision>
  <dcterms:created xsi:type="dcterms:W3CDTF">2019-04-26T12:50:00Z</dcterms:created>
  <dcterms:modified xsi:type="dcterms:W3CDTF">2019-04-26T12:50:00Z</dcterms:modified>
</cp:coreProperties>
</file>