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0FC" w:rsidRPr="007F11B9" w:rsidRDefault="009100FC" w:rsidP="009100FC">
      <w:pPr>
        <w:jc w:val="center"/>
        <w:rPr>
          <w:rFonts w:ascii="Century" w:hAnsi="Century"/>
          <w:sz w:val="28"/>
          <w:szCs w:val="28"/>
          <w:u w:val="single"/>
        </w:rPr>
      </w:pPr>
      <w:r w:rsidRPr="007F11B9">
        <w:rPr>
          <w:rFonts w:ascii="Century" w:hAnsi="Century"/>
          <w:sz w:val="28"/>
          <w:szCs w:val="28"/>
          <w:u w:val="single"/>
        </w:rPr>
        <w:t>Sartre, crèche</w:t>
      </w:r>
      <w:r>
        <w:rPr>
          <w:rFonts w:ascii="Century" w:hAnsi="Century"/>
          <w:sz w:val="28"/>
          <w:szCs w:val="28"/>
          <w:u w:val="single"/>
        </w:rPr>
        <w:t xml:space="preserve"> vivante</w:t>
      </w:r>
    </w:p>
    <w:p w:rsidR="009100FC" w:rsidRPr="00B155C6" w:rsidRDefault="009100FC" w:rsidP="00B155C6">
      <w:pPr>
        <w:spacing w:before="100" w:beforeAutospacing="1" w:after="100" w:afterAutospacing="1" w:line="528" w:lineRule="atLeast"/>
        <w:rPr>
          <w:rFonts w:ascii="Century Gothic" w:eastAsia="Times New Roman" w:hAnsi="Century Gothic"/>
          <w:b/>
          <w:i/>
          <w:color w:val="000000" w:themeColor="text1"/>
          <w:lang w:eastAsia="fr-BE"/>
        </w:rPr>
      </w:pPr>
      <w:r w:rsidRPr="00B155C6">
        <w:rPr>
          <w:rFonts w:ascii="Century Gothic" w:eastAsia="Times New Roman" w:hAnsi="Century Gothic"/>
          <w:b/>
          <w:bCs/>
          <w:i/>
          <w:color w:val="000000" w:themeColor="text1"/>
          <w:lang w:eastAsia="fr-BE"/>
        </w:rPr>
        <w:t>Athée, critique de l’aliénation religieuse… et auteur d’une très belle description de la Nativité. C’est en 1940, alors qu’il est prisonnier en Allemagne que le futur auteur de L’</w:t>
      </w:r>
      <w:r w:rsidRPr="00B155C6">
        <w:rPr>
          <w:rFonts w:ascii="Century Gothic" w:eastAsia="Times New Roman" w:hAnsi="Century Gothic"/>
          <w:b/>
          <w:bCs/>
          <w:i/>
          <w:iCs/>
          <w:color w:val="000000" w:themeColor="text1"/>
          <w:lang w:eastAsia="fr-BE"/>
        </w:rPr>
        <w:t>Être et le Néant</w:t>
      </w:r>
      <w:r w:rsidRPr="00B155C6">
        <w:rPr>
          <w:rFonts w:ascii="Century Gothic" w:eastAsia="Times New Roman" w:hAnsi="Century Gothic"/>
          <w:b/>
          <w:bCs/>
          <w:i/>
          <w:color w:val="000000" w:themeColor="text1"/>
          <w:lang w:eastAsia="fr-BE"/>
        </w:rPr>
        <w:t xml:space="preserve"> signe cette « crèche vivante » à la demande de ses compagnons de détention. Cette expérience contribue à faire muer cet individualiste en philosophe de la liberté.</w:t>
      </w:r>
      <w:bookmarkStart w:id="0" w:name="_GoBack"/>
      <w:bookmarkEnd w:id="0"/>
    </w:p>
    <w:p w:rsidR="009100FC" w:rsidRPr="00B155C6" w:rsidRDefault="009100FC" w:rsidP="00B155C6">
      <w:pPr>
        <w:spacing w:before="100" w:beforeAutospacing="1" w:after="100" w:afterAutospacing="1" w:line="528" w:lineRule="atLeast"/>
        <w:rPr>
          <w:rFonts w:ascii="Century Gothic" w:eastAsia="Times New Roman" w:hAnsi="Century Gothic"/>
          <w:color w:val="333333"/>
          <w:sz w:val="24"/>
          <w:szCs w:val="24"/>
          <w:lang w:eastAsia="fr-BE"/>
        </w:rPr>
      </w:pPr>
      <w:r w:rsidRPr="00B155C6">
        <w:rPr>
          <w:rFonts w:ascii="Century Gothic" w:eastAsia="Times New Roman" w:hAnsi="Century Gothic"/>
          <w:b/>
          <w:bCs/>
          <w:color w:val="333333"/>
          <w:sz w:val="24"/>
          <w:szCs w:val="24"/>
          <w:lang w:eastAsia="fr-BE"/>
        </w:rPr>
        <w:t>« Mais, comme c’est aujourd’hui Noël, vous avez le droit d’exiger qu’on vous montre la crèche.</w:t>
      </w:r>
      <w:r w:rsidRPr="00B155C6">
        <w:rPr>
          <w:rFonts w:ascii="Century Gothic" w:eastAsia="Times New Roman" w:hAnsi="Century Gothic"/>
          <w:color w:val="333333"/>
          <w:sz w:val="24"/>
          <w:szCs w:val="24"/>
          <w:lang w:eastAsia="fr-BE"/>
        </w:rPr>
        <w:t xml:space="preserve"> La voici. Voici la Vierge et voici Joseph et voici l’Enfant Jésus. L’artiste a mis tout son amour dans ce dessin mais vous le trouverez peut-être un peu naïf. Voyez, les personnages ont de beaux atours mais ils sont tout raides : on dirait des marionnettes. Ils n’étaient sûrement pas comme ça. Si vous étiez comme moi dont les yeux sont fermés… Mais écoutez : vous n’avez qu’à fermer les yeux pour m’entendre et je vous dirai comment je les vois au-dedans de moi. La Vierge est pâle et elle regarde l’enfant. Ce qu’il faudrait peindre sur son visage c’est un émerveillement anxieux qui n’a paru qu’une fois sur une figure humaine. Car le Christ est son enfant, la chair de sa chair et le fruit de ses entrailles. Elle l’a porté neuf mois et elle lui donnera le sein et son lait deviendra le sang de Dieu. Et par moments, la tentation est si forte qu’elle oublie qu’il est Dieu. Elle le serre dans ses bras et elle dit : mon petit ! Mais, à d’autres moments, elle demeure tout interdite et elle pense : Dieu est là – et elle se sent prise d’une horreur religieuse pour ce Dieu muet, pour cet enfant terrifiant. Car toutes les mères sont ainsi arrêtées par moments devant ce fragment rebelle de leur chair qu’est leur enfant et elles se sentent en exil à deux pas de cette vie neuve qu’on a faite avec leur vie et qu’habitent des pensées étrangères. Mais aucun enfant n’a été plus </w:t>
      </w:r>
      <w:r w:rsidRPr="00B155C6">
        <w:rPr>
          <w:rFonts w:ascii="Century Gothic" w:eastAsia="Times New Roman" w:hAnsi="Century Gothic"/>
          <w:color w:val="333333"/>
          <w:sz w:val="24"/>
          <w:szCs w:val="24"/>
          <w:lang w:eastAsia="fr-BE"/>
        </w:rPr>
        <w:lastRenderedPageBreak/>
        <w:t xml:space="preserve">cruellement et plus rapidement arraché à sa mère car il est Dieu et il dépasse de tous côtés ce qu’elle peut imaginer. Et c’est une dure épreuve pour une mère d’avoir honte de soi et de sa condition humaine devant son fils. Mais je pense qu’il y a aussi d’autres moments, rapides et glissants, où elle sent </w:t>
      </w:r>
      <w:r w:rsidRPr="00B155C6">
        <w:rPr>
          <w:rFonts w:ascii="Century Gothic" w:eastAsia="Times New Roman" w:hAnsi="Century Gothic"/>
          <w:i/>
          <w:iCs/>
          <w:color w:val="333333"/>
          <w:sz w:val="24"/>
          <w:szCs w:val="24"/>
          <w:lang w:eastAsia="fr-BE"/>
        </w:rPr>
        <w:t>à la fois</w:t>
      </w:r>
      <w:r w:rsidRPr="00B155C6">
        <w:rPr>
          <w:rFonts w:ascii="Century Gothic" w:eastAsia="Times New Roman" w:hAnsi="Century Gothic"/>
          <w:color w:val="333333"/>
          <w:sz w:val="24"/>
          <w:szCs w:val="24"/>
          <w:lang w:eastAsia="fr-BE"/>
        </w:rPr>
        <w:t xml:space="preserve"> que le Christ est son fils, son petit à elle et qu’il est Dieu. Elle le regarde et elle pense : « Ce Dieu est mon enfant. Cette chair divine est ma chair. Il est fait de moi, il a mes yeux et cette forme de sa bouche c’est la forme de la mienne. Il me ressemble. Il est Dieu et il me ressemble. » Et aucune femme n’a eu de la sorte son Dieu pour elle seule. Un Dieu tout petit qu’on peut prendre dans ses bras et couvrir de baisers, un Dieu tout chaud qui sourit et qui respire, un Dieu qu’on peut toucher et qui vit. Et c’est dans un de ces </w:t>
      </w:r>
      <w:proofErr w:type="spellStart"/>
      <w:r w:rsidRPr="00B155C6">
        <w:rPr>
          <w:rFonts w:ascii="Century Gothic" w:eastAsia="Times New Roman" w:hAnsi="Century Gothic"/>
          <w:color w:val="333333"/>
          <w:sz w:val="24"/>
          <w:szCs w:val="24"/>
          <w:lang w:eastAsia="fr-BE"/>
        </w:rPr>
        <w:t>moments-là</w:t>
      </w:r>
      <w:proofErr w:type="spellEnd"/>
      <w:r w:rsidRPr="00B155C6">
        <w:rPr>
          <w:rFonts w:ascii="Century Gothic" w:eastAsia="Times New Roman" w:hAnsi="Century Gothic"/>
          <w:color w:val="333333"/>
          <w:sz w:val="24"/>
          <w:szCs w:val="24"/>
          <w:lang w:eastAsia="fr-BE"/>
        </w:rPr>
        <w:t xml:space="preserve"> que je peindrais Marie, si j’étais peintre, et j’essaierais de rendre l’air de hardiesse tendre et de timidité avec lequel elle avance le doigt pour toucher la douce petite peau de cet enfant-Dieu dont elle sent sur ses genoux le poids tiède et qui lui sourit. Et voilà pour Jésus et pour la Vierge Marie.</w:t>
      </w:r>
    </w:p>
    <w:p w:rsidR="009100FC" w:rsidRPr="00B155C6" w:rsidRDefault="009100FC" w:rsidP="00B155C6">
      <w:pPr>
        <w:spacing w:before="100" w:beforeAutospacing="1" w:after="100" w:afterAutospacing="1" w:line="528" w:lineRule="atLeast"/>
        <w:rPr>
          <w:rFonts w:ascii="Century Gothic" w:eastAsia="Times New Roman" w:hAnsi="Century Gothic"/>
          <w:color w:val="333333"/>
          <w:sz w:val="24"/>
          <w:szCs w:val="24"/>
          <w:lang w:eastAsia="fr-BE"/>
        </w:rPr>
      </w:pPr>
      <w:r w:rsidRPr="00B155C6">
        <w:rPr>
          <w:rFonts w:ascii="Century Gothic" w:eastAsia="Times New Roman" w:hAnsi="Century Gothic"/>
          <w:color w:val="333333"/>
          <w:sz w:val="24"/>
          <w:szCs w:val="24"/>
          <w:lang w:eastAsia="fr-BE"/>
        </w:rPr>
        <w:t>Et Joseph ? Joseph, je ne le peindrai pas. Je ne montrerai qu’une ombre au fond de la grange et deux yeux brillants. Car je ne sais que dire de Joseph et Joseph ne sait que dire de lui-même. Il adore et il est heureux d’adorer et il se sent un peu en exil. Je crois qu’il souffre sans se l’avouer. Il souffre parce qu’il voit combien la femme qu’il aime ressemble à Dieu, combien déjà elle est du côté de Dieu. Car Dieu a éclaté comme une bombe dans l’intimité de cette famille. Joseph et Marie sont séparés pour toujours par cet incendie de clarté. Et toute la vie de Joseph, j’imagine, sera pour apprendre à accepter. »</w:t>
      </w:r>
    </w:p>
    <w:p w:rsidR="004A78BE" w:rsidRPr="00B155C6" w:rsidRDefault="009100FC" w:rsidP="00B155C6">
      <w:pPr>
        <w:spacing w:before="100" w:beforeAutospacing="1" w:after="100" w:afterAutospacing="1" w:line="528" w:lineRule="atLeast"/>
        <w:outlineLvl w:val="4"/>
        <w:rPr>
          <w:rFonts w:ascii="Century Gothic" w:hAnsi="Century Gothic"/>
          <w:sz w:val="24"/>
          <w:szCs w:val="24"/>
        </w:rPr>
      </w:pPr>
      <w:r w:rsidRPr="00B155C6">
        <w:rPr>
          <w:rFonts w:ascii="Century Gothic" w:eastAsia="Times New Roman" w:hAnsi="Century Gothic"/>
          <w:b/>
          <w:bCs/>
          <w:color w:val="000000" w:themeColor="text1"/>
          <w:sz w:val="24"/>
          <w:szCs w:val="24"/>
          <w:lang w:eastAsia="fr-BE"/>
        </w:rPr>
        <w:t xml:space="preserve">Extrait de </w:t>
      </w:r>
      <w:proofErr w:type="spellStart"/>
      <w:r w:rsidRPr="00B155C6">
        <w:rPr>
          <w:rFonts w:ascii="Century Gothic" w:eastAsia="Times New Roman" w:hAnsi="Century Gothic"/>
          <w:b/>
          <w:bCs/>
          <w:i/>
          <w:iCs/>
          <w:color w:val="000000" w:themeColor="text1"/>
          <w:sz w:val="24"/>
          <w:szCs w:val="24"/>
          <w:lang w:eastAsia="fr-BE"/>
        </w:rPr>
        <w:t>Bariona</w:t>
      </w:r>
      <w:proofErr w:type="spellEnd"/>
      <w:r w:rsidRPr="00B155C6">
        <w:rPr>
          <w:rFonts w:ascii="Century Gothic" w:eastAsia="Times New Roman" w:hAnsi="Century Gothic"/>
          <w:b/>
          <w:bCs/>
          <w:i/>
          <w:iCs/>
          <w:color w:val="000000" w:themeColor="text1"/>
          <w:sz w:val="24"/>
          <w:szCs w:val="24"/>
          <w:lang w:eastAsia="fr-BE"/>
        </w:rPr>
        <w:t>, ou le jeu de la douleur et de l’espoir,</w:t>
      </w:r>
      <w:r w:rsidRPr="00B155C6">
        <w:rPr>
          <w:rFonts w:ascii="Century Gothic" w:eastAsia="Times New Roman" w:hAnsi="Century Gothic"/>
          <w:b/>
          <w:bCs/>
          <w:color w:val="000000" w:themeColor="text1"/>
          <w:sz w:val="24"/>
          <w:szCs w:val="24"/>
          <w:lang w:eastAsia="fr-BE"/>
        </w:rPr>
        <w:t xml:space="preserve"> de Jean-Paul Sartre, in </w:t>
      </w:r>
      <w:r w:rsidRPr="00B155C6">
        <w:rPr>
          <w:rFonts w:ascii="Century Gothic" w:eastAsia="Times New Roman" w:hAnsi="Century Gothic"/>
          <w:b/>
          <w:bCs/>
          <w:i/>
          <w:iCs/>
          <w:color w:val="000000" w:themeColor="text1"/>
          <w:sz w:val="24"/>
          <w:szCs w:val="24"/>
          <w:lang w:eastAsia="fr-BE"/>
        </w:rPr>
        <w:t>Théâtre complet,</w:t>
      </w:r>
      <w:r w:rsidRPr="00B155C6">
        <w:rPr>
          <w:rFonts w:ascii="Century Gothic" w:eastAsia="Times New Roman" w:hAnsi="Century Gothic"/>
          <w:b/>
          <w:bCs/>
          <w:color w:val="000000" w:themeColor="text1"/>
          <w:sz w:val="24"/>
          <w:szCs w:val="24"/>
          <w:lang w:eastAsia="fr-BE"/>
        </w:rPr>
        <w:t xml:space="preserve"> pp. 1163-1165, Pléiade © Éditions Gallimard.</w:t>
      </w:r>
    </w:p>
    <w:sectPr w:rsidR="004A78BE" w:rsidRPr="00B15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FC"/>
    <w:rsid w:val="009100FC"/>
    <w:rsid w:val="00B155C6"/>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52E75-57B6-4D03-9BC2-B70C2977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0F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584</Words>
  <Characters>3218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3</cp:revision>
  <dcterms:created xsi:type="dcterms:W3CDTF">2016-03-02T10:10:00Z</dcterms:created>
  <dcterms:modified xsi:type="dcterms:W3CDTF">2016-03-21T10:16:00Z</dcterms:modified>
</cp:coreProperties>
</file>